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1" w:rsidRPr="00942CBE" w:rsidRDefault="00925108" w:rsidP="00942CBE">
      <w:pPr>
        <w:jc w:val="center"/>
        <w:rPr>
          <w:rFonts w:ascii="Arial" w:hAnsi="Arial" w:cs="Arial"/>
          <w:b/>
          <w:sz w:val="24"/>
        </w:rPr>
      </w:pPr>
      <w:r w:rsidRPr="00942CBE">
        <w:rPr>
          <w:rFonts w:ascii="Arial" w:hAnsi="Arial" w:cs="Arial"/>
          <w:b/>
          <w:sz w:val="24"/>
        </w:rPr>
        <w:t>District C</w:t>
      </w:r>
      <w:r w:rsidR="00736DD4" w:rsidRPr="00942CBE">
        <w:rPr>
          <w:rFonts w:ascii="Arial" w:hAnsi="Arial" w:cs="Arial"/>
          <w:b/>
          <w:sz w:val="24"/>
        </w:rPr>
        <w:t xml:space="preserve">ourt </w:t>
      </w:r>
      <w:r w:rsidR="00983444" w:rsidRPr="00942CBE">
        <w:rPr>
          <w:rFonts w:ascii="Arial" w:hAnsi="Arial" w:cs="Arial"/>
          <w:b/>
          <w:sz w:val="24"/>
        </w:rPr>
        <w:t xml:space="preserve">Criminal Practice Note </w:t>
      </w:r>
      <w:r w:rsidR="00736DD4" w:rsidRPr="00942CBE">
        <w:rPr>
          <w:rFonts w:ascii="Arial" w:hAnsi="Arial" w:cs="Arial"/>
          <w:b/>
          <w:sz w:val="24"/>
        </w:rPr>
        <w:t>12</w:t>
      </w:r>
    </w:p>
    <w:p w:rsidR="00925108" w:rsidRPr="00942CBE" w:rsidRDefault="00942CBE" w:rsidP="00942CBE">
      <w:pPr>
        <w:jc w:val="center"/>
        <w:rPr>
          <w:rFonts w:ascii="Arial" w:hAnsi="Arial" w:cs="Arial"/>
          <w:b/>
          <w:sz w:val="24"/>
        </w:rPr>
      </w:pPr>
      <w:r w:rsidRPr="00942CBE">
        <w:rPr>
          <w:rFonts w:ascii="Arial" w:hAnsi="Arial" w:cs="Arial"/>
          <w:b/>
          <w:sz w:val="24"/>
        </w:rPr>
        <w:t>READINESS HEARINGS</w:t>
      </w:r>
    </w:p>
    <w:p w:rsidR="00925108" w:rsidRDefault="00925108" w:rsidP="00E36811">
      <w:pPr>
        <w:rPr>
          <w:rFonts w:ascii="Arial" w:hAnsi="Arial" w:cs="Arial"/>
          <w:sz w:val="24"/>
        </w:rPr>
      </w:pPr>
    </w:p>
    <w:p w:rsidR="00736DD4" w:rsidRDefault="00335376" w:rsidP="00736D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COMMENCEMENT </w:t>
      </w:r>
    </w:p>
    <w:p w:rsidR="00925108" w:rsidRPr="00736DD4" w:rsidRDefault="00925108" w:rsidP="00736DD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36DD4">
        <w:rPr>
          <w:rFonts w:ascii="Arial" w:hAnsi="Arial" w:cs="Arial"/>
          <w:sz w:val="24"/>
        </w:rPr>
        <w:t>T</w:t>
      </w:r>
      <w:r w:rsidR="00694667">
        <w:rPr>
          <w:rFonts w:ascii="Arial" w:hAnsi="Arial" w:cs="Arial"/>
          <w:sz w:val="24"/>
        </w:rPr>
        <w:t xml:space="preserve">his </w:t>
      </w:r>
      <w:r w:rsidR="003B1E89">
        <w:rPr>
          <w:rFonts w:ascii="Arial" w:hAnsi="Arial" w:cs="Arial"/>
          <w:sz w:val="24"/>
        </w:rPr>
        <w:t xml:space="preserve">Practice Note </w:t>
      </w:r>
      <w:r w:rsidR="00A36055">
        <w:rPr>
          <w:rFonts w:ascii="Arial" w:hAnsi="Arial" w:cs="Arial"/>
          <w:sz w:val="24"/>
        </w:rPr>
        <w:t xml:space="preserve">revises the version </w:t>
      </w:r>
      <w:r w:rsidR="00E729E1">
        <w:rPr>
          <w:rFonts w:ascii="Arial" w:hAnsi="Arial" w:cs="Arial"/>
          <w:sz w:val="24"/>
        </w:rPr>
        <w:t>published 17 November</w:t>
      </w:r>
      <w:r w:rsidR="00D960BB">
        <w:rPr>
          <w:rFonts w:ascii="Arial" w:hAnsi="Arial" w:cs="Arial"/>
          <w:sz w:val="24"/>
        </w:rPr>
        <w:t xml:space="preserve"> 2017. </w:t>
      </w:r>
      <w:r w:rsidRPr="00736DD4">
        <w:rPr>
          <w:rFonts w:ascii="Arial" w:hAnsi="Arial" w:cs="Arial"/>
          <w:sz w:val="24"/>
        </w:rPr>
        <w:t xml:space="preserve"> </w:t>
      </w:r>
    </w:p>
    <w:p w:rsidR="00925108" w:rsidRDefault="00335376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736DD4" w:rsidRDefault="00335376" w:rsidP="00736D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APPLICATION</w:t>
      </w:r>
    </w:p>
    <w:p w:rsidR="00925108" w:rsidRDefault="00925108" w:rsidP="00E36811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36DD4">
        <w:rPr>
          <w:rFonts w:ascii="Arial" w:hAnsi="Arial" w:cs="Arial"/>
          <w:sz w:val="24"/>
        </w:rPr>
        <w:t xml:space="preserve">This Practice Note applies to proceedings on indictment with an estimated duration of </w:t>
      </w:r>
      <w:r w:rsidR="004C5E4B">
        <w:rPr>
          <w:rFonts w:ascii="Arial" w:hAnsi="Arial" w:cs="Arial"/>
          <w:i/>
          <w:sz w:val="24"/>
        </w:rPr>
        <w:t>6 days or more</w:t>
      </w:r>
      <w:r w:rsidRPr="00736DD4">
        <w:rPr>
          <w:rFonts w:ascii="Arial" w:hAnsi="Arial" w:cs="Arial"/>
          <w:sz w:val="24"/>
        </w:rPr>
        <w:t xml:space="preserve">. </w:t>
      </w:r>
      <w:r w:rsidR="004C5E4B">
        <w:rPr>
          <w:rFonts w:ascii="Arial" w:hAnsi="Arial" w:cs="Arial"/>
          <w:sz w:val="24"/>
        </w:rPr>
        <w:t xml:space="preserve">It will take effect from </w:t>
      </w:r>
      <w:r w:rsidR="00B40961">
        <w:rPr>
          <w:rFonts w:ascii="Arial" w:hAnsi="Arial" w:cs="Arial"/>
          <w:sz w:val="24"/>
        </w:rPr>
        <w:t>28 September</w:t>
      </w:r>
      <w:r w:rsidR="00B802DB">
        <w:rPr>
          <w:rFonts w:ascii="Arial" w:hAnsi="Arial" w:cs="Arial"/>
          <w:sz w:val="24"/>
        </w:rPr>
        <w:t xml:space="preserve"> 2018, so that trials with estimates of </w:t>
      </w:r>
      <w:r w:rsidR="004C5E4B">
        <w:rPr>
          <w:rFonts w:ascii="Arial" w:hAnsi="Arial" w:cs="Arial"/>
          <w:sz w:val="24"/>
        </w:rPr>
        <w:t>6 days or more</w:t>
      </w:r>
      <w:r w:rsidR="00B802DB">
        <w:rPr>
          <w:rFonts w:ascii="Arial" w:hAnsi="Arial" w:cs="Arial"/>
          <w:sz w:val="24"/>
        </w:rPr>
        <w:t xml:space="preserve"> listed to commence from </w:t>
      </w:r>
      <w:r w:rsidR="00B40961">
        <w:rPr>
          <w:rFonts w:ascii="Arial" w:hAnsi="Arial" w:cs="Arial"/>
          <w:sz w:val="24"/>
        </w:rPr>
        <w:t>12</w:t>
      </w:r>
      <w:r w:rsidR="004C5E4B">
        <w:rPr>
          <w:rFonts w:ascii="Arial" w:hAnsi="Arial" w:cs="Arial"/>
          <w:sz w:val="24"/>
        </w:rPr>
        <w:t xml:space="preserve"> November </w:t>
      </w:r>
      <w:r w:rsidR="00B802DB">
        <w:rPr>
          <w:rFonts w:ascii="Arial" w:hAnsi="Arial" w:cs="Arial"/>
          <w:sz w:val="24"/>
        </w:rPr>
        <w:t>2018 will be listed for readiness hearing.</w:t>
      </w:r>
    </w:p>
    <w:p w:rsidR="00B802DB" w:rsidRPr="00B802DB" w:rsidRDefault="00B802DB" w:rsidP="00B802DB">
      <w:pPr>
        <w:pStyle w:val="ListParagraph"/>
        <w:ind w:left="360"/>
        <w:rPr>
          <w:rFonts w:ascii="Arial" w:hAnsi="Arial" w:cs="Arial"/>
          <w:sz w:val="24"/>
        </w:rPr>
      </w:pPr>
    </w:p>
    <w:p w:rsidR="00925108" w:rsidRPr="00736DD4" w:rsidRDefault="00335376" w:rsidP="00736D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DEFINITIONS</w:t>
      </w:r>
    </w:p>
    <w:p w:rsidR="005A7182" w:rsidRPr="00736DD4" w:rsidRDefault="00925108" w:rsidP="00736DD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36DD4">
        <w:rPr>
          <w:rFonts w:ascii="Arial" w:hAnsi="Arial" w:cs="Arial"/>
          <w:sz w:val="24"/>
        </w:rPr>
        <w:t>In this Practice Note:</w:t>
      </w:r>
    </w:p>
    <w:p w:rsidR="00925108" w:rsidRDefault="00925108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gramStart"/>
      <w:r>
        <w:rPr>
          <w:rFonts w:ascii="Arial" w:hAnsi="Arial" w:cs="Arial"/>
          <w:sz w:val="24"/>
        </w:rPr>
        <w:t>accused</w:t>
      </w:r>
      <w:proofErr w:type="gramEnd"/>
      <w:r>
        <w:rPr>
          <w:rFonts w:ascii="Arial" w:hAnsi="Arial" w:cs="Arial"/>
          <w:sz w:val="24"/>
        </w:rPr>
        <w:t xml:space="preserve"> person” </w:t>
      </w:r>
      <w:r w:rsidR="005C5D53" w:rsidRPr="005C5D53">
        <w:rPr>
          <w:rFonts w:ascii="Arial" w:hAnsi="Arial" w:cs="Arial"/>
          <w:sz w:val="24"/>
        </w:rPr>
        <w:t>includes an</w:t>
      </w:r>
      <w:r w:rsidR="00E3362C" w:rsidRPr="005C5D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Australian legal practitioner </w:t>
      </w:r>
      <w:r w:rsidR="00A64E1D">
        <w:rPr>
          <w:rFonts w:ascii="Arial" w:hAnsi="Arial" w:cs="Arial"/>
          <w:sz w:val="24"/>
        </w:rPr>
        <w:t xml:space="preserve">representing </w:t>
      </w:r>
      <w:r w:rsidR="005C5D53" w:rsidRPr="005C5D53">
        <w:rPr>
          <w:rFonts w:ascii="Arial" w:hAnsi="Arial" w:cs="Arial"/>
          <w:sz w:val="24"/>
        </w:rPr>
        <w:t>an</w:t>
      </w:r>
      <w:r w:rsidR="004F564D" w:rsidRPr="005C5D53">
        <w:rPr>
          <w:rFonts w:ascii="Arial" w:hAnsi="Arial" w:cs="Arial"/>
          <w:sz w:val="24"/>
        </w:rPr>
        <w:t xml:space="preserve"> </w:t>
      </w:r>
      <w:r w:rsidR="00A64E1D">
        <w:rPr>
          <w:rFonts w:ascii="Arial" w:hAnsi="Arial" w:cs="Arial"/>
          <w:sz w:val="24"/>
        </w:rPr>
        <w:t>accused person</w:t>
      </w:r>
    </w:p>
    <w:p w:rsidR="00925108" w:rsidRDefault="00925108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gramStart"/>
      <w:r>
        <w:rPr>
          <w:rFonts w:ascii="Arial" w:hAnsi="Arial" w:cs="Arial"/>
          <w:sz w:val="24"/>
        </w:rPr>
        <w:t>court</w:t>
      </w:r>
      <w:proofErr w:type="gramEnd"/>
      <w:r>
        <w:rPr>
          <w:rFonts w:ascii="Arial" w:hAnsi="Arial" w:cs="Arial"/>
          <w:sz w:val="24"/>
        </w:rPr>
        <w:t>” means the District Court</w:t>
      </w:r>
    </w:p>
    <w:p w:rsidR="00A64E1D" w:rsidRPr="00A64E1D" w:rsidRDefault="00A64E1D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“Judge” has the same meaning as in the </w:t>
      </w:r>
      <w:r>
        <w:rPr>
          <w:rFonts w:ascii="Arial" w:hAnsi="Arial" w:cs="Arial"/>
          <w:i/>
          <w:sz w:val="24"/>
        </w:rPr>
        <w:t xml:space="preserve">District Court Act 1973 </w:t>
      </w:r>
    </w:p>
    <w:p w:rsidR="00925108" w:rsidRDefault="00925108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gramStart"/>
      <w:r>
        <w:rPr>
          <w:rFonts w:ascii="Arial" w:hAnsi="Arial" w:cs="Arial"/>
          <w:sz w:val="24"/>
        </w:rPr>
        <w:t>pre-trial</w:t>
      </w:r>
      <w:proofErr w:type="gramEnd"/>
      <w:r>
        <w:rPr>
          <w:rFonts w:ascii="Arial" w:hAnsi="Arial" w:cs="Arial"/>
          <w:sz w:val="24"/>
        </w:rPr>
        <w:t xml:space="preserve"> conference” means a conference held under </w:t>
      </w:r>
      <w:r w:rsidR="005C5D53" w:rsidRPr="00335376">
        <w:rPr>
          <w:rFonts w:ascii="Arial" w:hAnsi="Arial" w:cs="Arial"/>
          <w:sz w:val="24"/>
        </w:rPr>
        <w:t>s</w:t>
      </w:r>
      <w:r w:rsidR="004F564D">
        <w:rPr>
          <w:rFonts w:ascii="Arial" w:hAnsi="Arial" w:cs="Arial"/>
          <w:color w:val="FF0000"/>
          <w:sz w:val="24"/>
        </w:rPr>
        <w:t xml:space="preserve"> </w:t>
      </w:r>
      <w:r w:rsidR="004F564D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40 of the </w:t>
      </w:r>
      <w:r>
        <w:rPr>
          <w:rFonts w:ascii="Arial" w:hAnsi="Arial" w:cs="Arial"/>
          <w:i/>
          <w:sz w:val="24"/>
        </w:rPr>
        <w:t xml:space="preserve">Criminal Procedure Act 1986 </w:t>
      </w:r>
    </w:p>
    <w:p w:rsidR="00925108" w:rsidRDefault="00925108" w:rsidP="009251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gramStart"/>
      <w:r>
        <w:rPr>
          <w:rFonts w:ascii="Arial" w:hAnsi="Arial" w:cs="Arial"/>
          <w:sz w:val="24"/>
        </w:rPr>
        <w:t>pre-trial</w:t>
      </w:r>
      <w:proofErr w:type="gramEnd"/>
      <w:r>
        <w:rPr>
          <w:rFonts w:ascii="Arial" w:hAnsi="Arial" w:cs="Arial"/>
          <w:sz w:val="24"/>
        </w:rPr>
        <w:t xml:space="preserve"> hear</w:t>
      </w:r>
      <w:r w:rsidR="005C5D53">
        <w:rPr>
          <w:rFonts w:ascii="Arial" w:hAnsi="Arial" w:cs="Arial"/>
          <w:sz w:val="24"/>
        </w:rPr>
        <w:t xml:space="preserve">ing” means a hearing held under </w:t>
      </w:r>
      <w:r w:rsidR="005C5D53" w:rsidRPr="00335376">
        <w:rPr>
          <w:rFonts w:ascii="Arial" w:hAnsi="Arial" w:cs="Arial"/>
          <w:sz w:val="24"/>
        </w:rPr>
        <w:t>s</w:t>
      </w:r>
      <w:r w:rsidRPr="003353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139 of the </w:t>
      </w:r>
      <w:r>
        <w:rPr>
          <w:rFonts w:ascii="Arial" w:hAnsi="Arial" w:cs="Arial"/>
          <w:i/>
          <w:sz w:val="24"/>
        </w:rPr>
        <w:t>Criminal Procedure Act 1986</w:t>
      </w:r>
    </w:p>
    <w:p w:rsidR="005B0BC6" w:rsidRDefault="005B0BC6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gramStart"/>
      <w:r>
        <w:rPr>
          <w:rFonts w:ascii="Arial" w:hAnsi="Arial" w:cs="Arial"/>
          <w:sz w:val="24"/>
        </w:rPr>
        <w:t>prosecutor</w:t>
      </w:r>
      <w:proofErr w:type="gramEnd"/>
      <w:r>
        <w:rPr>
          <w:rFonts w:ascii="Arial" w:hAnsi="Arial" w:cs="Arial"/>
          <w:sz w:val="24"/>
        </w:rPr>
        <w:t>”</w:t>
      </w:r>
      <w:r w:rsidRPr="005B0BC6">
        <w:rPr>
          <w:rFonts w:ascii="Arial" w:hAnsi="Arial" w:cs="Arial"/>
          <w:sz w:val="24"/>
        </w:rPr>
        <w:t xml:space="preserve"> </w:t>
      </w:r>
      <w:r w:rsidR="004F564D" w:rsidRPr="00335376">
        <w:rPr>
          <w:rFonts w:ascii="Arial" w:hAnsi="Arial" w:cs="Arial"/>
          <w:sz w:val="24"/>
        </w:rPr>
        <w:t xml:space="preserve">has the same meaning as in the </w:t>
      </w:r>
      <w:r w:rsidR="005C5D53" w:rsidRPr="00335376">
        <w:rPr>
          <w:rFonts w:ascii="Arial" w:hAnsi="Arial" w:cs="Arial"/>
          <w:i/>
          <w:sz w:val="24"/>
        </w:rPr>
        <w:t>Criminal Procedure Act 1986</w:t>
      </w:r>
    </w:p>
    <w:p w:rsidR="00925108" w:rsidRPr="00925108" w:rsidRDefault="00C66F96" w:rsidP="00E368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proofErr w:type="gramStart"/>
      <w:r>
        <w:rPr>
          <w:rFonts w:ascii="Arial" w:hAnsi="Arial" w:cs="Arial"/>
          <w:sz w:val="24"/>
        </w:rPr>
        <w:t>readiness</w:t>
      </w:r>
      <w:proofErr w:type="gramEnd"/>
      <w:r>
        <w:rPr>
          <w:rFonts w:ascii="Arial" w:hAnsi="Arial" w:cs="Arial"/>
          <w:sz w:val="24"/>
        </w:rPr>
        <w:t xml:space="preserve"> hearing” means a hearing to </w:t>
      </w:r>
      <w:r w:rsidR="009479A1">
        <w:rPr>
          <w:rFonts w:ascii="Arial" w:hAnsi="Arial" w:cs="Arial"/>
          <w:sz w:val="24"/>
        </w:rPr>
        <w:t>ascertain the readiness of the trial to proceed on the allocated trial date</w:t>
      </w:r>
    </w:p>
    <w:p w:rsidR="00350C0F" w:rsidRDefault="00350C0F" w:rsidP="00736DD4">
      <w:pPr>
        <w:rPr>
          <w:rFonts w:ascii="Arial" w:hAnsi="Arial" w:cs="Arial"/>
          <w:sz w:val="24"/>
        </w:rPr>
      </w:pPr>
    </w:p>
    <w:p w:rsidR="00736DD4" w:rsidRPr="00736DD4" w:rsidRDefault="00335376" w:rsidP="00736DD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</w:t>
      </w:r>
    </w:p>
    <w:p w:rsidR="00736DD4" w:rsidRPr="003850E1" w:rsidRDefault="00736DD4" w:rsidP="003850E1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736DD4">
        <w:rPr>
          <w:rFonts w:ascii="Arial" w:hAnsi="Arial" w:cs="Arial"/>
          <w:sz w:val="24"/>
        </w:rPr>
        <w:t xml:space="preserve">The purpose of this Practice Note is to reduce delays in proceedings on indictment with an estimated duration of </w:t>
      </w:r>
      <w:r w:rsidR="004C5E4B">
        <w:rPr>
          <w:rFonts w:ascii="Arial" w:hAnsi="Arial" w:cs="Arial"/>
          <w:i/>
          <w:sz w:val="24"/>
        </w:rPr>
        <w:t>6 days or more</w:t>
      </w:r>
      <w:r w:rsidRPr="00736DD4">
        <w:rPr>
          <w:rFonts w:ascii="Arial" w:hAnsi="Arial" w:cs="Arial"/>
          <w:sz w:val="24"/>
        </w:rPr>
        <w:t xml:space="preserve"> by enabling the court to order the prosecutor and the accused person to attend </w:t>
      </w:r>
      <w:r w:rsidR="005C5D53">
        <w:rPr>
          <w:rFonts w:ascii="Arial" w:hAnsi="Arial" w:cs="Arial"/>
          <w:sz w:val="24"/>
        </w:rPr>
        <w:t>one or more readiness hearings</w:t>
      </w:r>
      <w:r w:rsidRPr="00736DD4">
        <w:rPr>
          <w:rFonts w:ascii="Arial" w:hAnsi="Arial" w:cs="Arial"/>
          <w:sz w:val="24"/>
        </w:rPr>
        <w:t xml:space="preserve">. </w:t>
      </w:r>
    </w:p>
    <w:p w:rsidR="00736DD4" w:rsidRDefault="00736DD4" w:rsidP="00736DD4">
      <w:pPr>
        <w:pStyle w:val="ListParagraph"/>
        <w:ind w:left="360"/>
        <w:rPr>
          <w:rFonts w:ascii="Arial" w:hAnsi="Arial" w:cs="Arial"/>
          <w:sz w:val="24"/>
        </w:rPr>
      </w:pPr>
    </w:p>
    <w:p w:rsidR="00A64E1D" w:rsidRPr="00C7435A" w:rsidRDefault="008E5F50" w:rsidP="00C7435A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This Practice Note responds to the provisions of the </w:t>
      </w:r>
      <w:r w:rsidRPr="004C4195">
        <w:rPr>
          <w:rFonts w:ascii="Arial" w:hAnsi="Arial" w:cs="Arial"/>
          <w:i/>
          <w:sz w:val="24"/>
        </w:rPr>
        <w:t>Criminal Procedure Act 1986</w:t>
      </w:r>
      <w:r w:rsidR="00C7435A">
        <w:rPr>
          <w:rFonts w:ascii="Arial" w:hAnsi="Arial" w:cs="Arial"/>
          <w:sz w:val="24"/>
        </w:rPr>
        <w:t>, Part 3, Division 3 (</w:t>
      </w:r>
      <w:r w:rsidRPr="00C7435A">
        <w:rPr>
          <w:rFonts w:ascii="Arial" w:hAnsi="Arial" w:cs="Arial"/>
          <w:sz w:val="24"/>
        </w:rPr>
        <w:t xml:space="preserve">‘Case management provisions and other provisions </w:t>
      </w:r>
      <w:r w:rsidR="00C7435A">
        <w:rPr>
          <w:rFonts w:ascii="Arial" w:hAnsi="Arial" w:cs="Arial"/>
          <w:sz w:val="24"/>
        </w:rPr>
        <w:t>to reduce delays in proceedings</w:t>
      </w:r>
      <w:r w:rsidRPr="00C7435A">
        <w:rPr>
          <w:rFonts w:ascii="Arial" w:hAnsi="Arial" w:cs="Arial"/>
          <w:sz w:val="24"/>
        </w:rPr>
        <w:t>’</w:t>
      </w:r>
      <w:r w:rsidR="00C7435A">
        <w:rPr>
          <w:rFonts w:ascii="Arial" w:hAnsi="Arial" w:cs="Arial"/>
          <w:sz w:val="24"/>
        </w:rPr>
        <w:t>).</w:t>
      </w:r>
    </w:p>
    <w:p w:rsidR="00C66F96" w:rsidRDefault="00C66F96" w:rsidP="00A64E1D">
      <w:pPr>
        <w:rPr>
          <w:rFonts w:ascii="Arial" w:hAnsi="Arial" w:cs="Arial"/>
          <w:sz w:val="24"/>
        </w:rPr>
      </w:pPr>
    </w:p>
    <w:p w:rsidR="008E5F50" w:rsidRPr="00A64E1D" w:rsidRDefault="00335376" w:rsidP="00A64E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</w:t>
      </w:r>
    </w:p>
    <w:p w:rsidR="00DC4DDB" w:rsidRDefault="00A95CD6" w:rsidP="0098344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the first mention of proceedings in </w:t>
      </w:r>
      <w:r w:rsidR="00E5584A">
        <w:rPr>
          <w:rFonts w:ascii="Arial" w:hAnsi="Arial" w:cs="Arial"/>
          <w:sz w:val="24"/>
        </w:rPr>
        <w:t>the court or at any other time,</w:t>
      </w:r>
      <w:r w:rsidR="00AA22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court may order the prosecutor and the accused person to attend one or more readiness hearings before the court</w:t>
      </w:r>
      <w:r w:rsidR="00E5584A">
        <w:rPr>
          <w:rFonts w:ascii="Arial" w:hAnsi="Arial" w:cs="Arial"/>
          <w:sz w:val="24"/>
        </w:rPr>
        <w:t xml:space="preserve">. </w:t>
      </w:r>
    </w:p>
    <w:p w:rsidR="005845DC" w:rsidRDefault="005845DC" w:rsidP="005845DC">
      <w:pPr>
        <w:pStyle w:val="ListParagraph"/>
        <w:ind w:left="360"/>
        <w:rPr>
          <w:rFonts w:ascii="Arial" w:hAnsi="Arial" w:cs="Arial"/>
          <w:sz w:val="24"/>
        </w:rPr>
      </w:pPr>
    </w:p>
    <w:p w:rsidR="005845DC" w:rsidRPr="005B0BC6" w:rsidRDefault="005845DC" w:rsidP="00983444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prosecutor must file</w:t>
      </w:r>
      <w:r w:rsidR="00446067">
        <w:rPr>
          <w:rFonts w:ascii="Arial" w:hAnsi="Arial" w:cs="Arial"/>
          <w:sz w:val="24"/>
        </w:rPr>
        <w:t xml:space="preserve"> and serve</w:t>
      </w:r>
      <w:r>
        <w:rPr>
          <w:rFonts w:ascii="Arial" w:hAnsi="Arial" w:cs="Arial"/>
          <w:sz w:val="24"/>
        </w:rPr>
        <w:t xml:space="preserve"> the Crown Case Statement at least five days prior to the readiness hearing. </w:t>
      </w:r>
    </w:p>
    <w:p w:rsidR="005B0BC6" w:rsidRDefault="005B0BC6" w:rsidP="005B0BC6">
      <w:pPr>
        <w:pStyle w:val="ListParagraph"/>
        <w:ind w:left="360"/>
        <w:rPr>
          <w:rFonts w:ascii="Arial" w:hAnsi="Arial" w:cs="Arial"/>
          <w:sz w:val="24"/>
        </w:rPr>
      </w:pPr>
    </w:p>
    <w:p w:rsidR="00BE1DBF" w:rsidRPr="00BE1DBF" w:rsidRDefault="00E5584A" w:rsidP="00BE1DB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the </w:t>
      </w:r>
      <w:r w:rsidR="00A95CD6">
        <w:rPr>
          <w:rFonts w:ascii="Arial" w:hAnsi="Arial" w:cs="Arial"/>
          <w:sz w:val="24"/>
        </w:rPr>
        <w:t xml:space="preserve">readiness hearing, the court may </w:t>
      </w:r>
      <w:r w:rsidR="00AA229E" w:rsidRPr="00AA229E">
        <w:rPr>
          <w:rFonts w:ascii="Arial" w:hAnsi="Arial" w:cs="Arial"/>
          <w:sz w:val="24"/>
        </w:rPr>
        <w:t xml:space="preserve">make any such orders, determinations or findings, or give such directions or rulings, as it thinks appropriate </w:t>
      </w:r>
      <w:r w:rsidR="00AA229E">
        <w:rPr>
          <w:rFonts w:ascii="Arial" w:hAnsi="Arial" w:cs="Arial"/>
          <w:sz w:val="24"/>
        </w:rPr>
        <w:t xml:space="preserve">to identify the issues in contention and for the </w:t>
      </w:r>
      <w:r w:rsidR="00AA229E" w:rsidRPr="00AA229E">
        <w:rPr>
          <w:rFonts w:ascii="Arial" w:hAnsi="Arial" w:cs="Arial"/>
          <w:sz w:val="24"/>
        </w:rPr>
        <w:t xml:space="preserve">efficient management and conduct of the trial. </w:t>
      </w:r>
    </w:p>
    <w:p w:rsidR="00BE1DBF" w:rsidRDefault="00BE1DBF" w:rsidP="00BE1DBF">
      <w:pPr>
        <w:pStyle w:val="ListParagraph"/>
        <w:ind w:left="360"/>
        <w:rPr>
          <w:rFonts w:ascii="Arial" w:hAnsi="Arial" w:cs="Arial"/>
          <w:sz w:val="24"/>
        </w:rPr>
      </w:pPr>
    </w:p>
    <w:p w:rsidR="00BE1DBF" w:rsidRPr="00BE1DBF" w:rsidRDefault="00E5584A" w:rsidP="00BE1DB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Case management measures available to the court </w:t>
      </w:r>
      <w:r w:rsidR="00881BFE">
        <w:rPr>
          <w:rFonts w:ascii="Arial" w:hAnsi="Arial" w:cs="Arial"/>
          <w:sz w:val="24"/>
        </w:rPr>
        <w:t xml:space="preserve">during the readiness hearing </w:t>
      </w:r>
      <w:r>
        <w:rPr>
          <w:rFonts w:ascii="Arial" w:hAnsi="Arial" w:cs="Arial"/>
          <w:sz w:val="24"/>
        </w:rPr>
        <w:t xml:space="preserve">include the ordering of </w:t>
      </w:r>
      <w:r w:rsidRPr="000F22FD">
        <w:rPr>
          <w:rFonts w:ascii="Arial" w:hAnsi="Arial" w:cs="Arial"/>
          <w:sz w:val="24"/>
        </w:rPr>
        <w:t>pre-trial hearings, pre-trial conferences and further pre-trial disclosure</w:t>
      </w:r>
      <w:r>
        <w:rPr>
          <w:rFonts w:ascii="Arial" w:hAnsi="Arial" w:cs="Arial"/>
          <w:sz w:val="24"/>
        </w:rPr>
        <w:t xml:space="preserve">. The court has discretion </w:t>
      </w:r>
      <w:r w:rsidR="00983444">
        <w:rPr>
          <w:rFonts w:ascii="Arial" w:hAnsi="Arial" w:cs="Arial"/>
          <w:sz w:val="24"/>
        </w:rPr>
        <w:t>in</w:t>
      </w:r>
      <w:r>
        <w:rPr>
          <w:rFonts w:ascii="Arial" w:hAnsi="Arial" w:cs="Arial"/>
          <w:sz w:val="24"/>
        </w:rPr>
        <w:t xml:space="preserve"> determining which (if any) measures are suitable in the proceedings concerned. </w:t>
      </w:r>
    </w:p>
    <w:p w:rsidR="00BE1DBF" w:rsidRDefault="00BE1DBF" w:rsidP="00BE1DBF">
      <w:pPr>
        <w:pStyle w:val="ListParagraph"/>
        <w:ind w:left="360"/>
        <w:rPr>
          <w:rFonts w:ascii="Arial" w:hAnsi="Arial" w:cs="Arial"/>
          <w:sz w:val="24"/>
        </w:rPr>
      </w:pPr>
    </w:p>
    <w:p w:rsidR="00881BFE" w:rsidRDefault="00881BFE" w:rsidP="00041B4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persons must be present during the readiness hearing: </w:t>
      </w:r>
    </w:p>
    <w:p w:rsidR="00881BFE" w:rsidRPr="00881BFE" w:rsidRDefault="00881BFE" w:rsidP="00881BFE">
      <w:pPr>
        <w:pStyle w:val="ListParagraph"/>
        <w:rPr>
          <w:rFonts w:ascii="Arial" w:hAnsi="Arial" w:cs="Arial"/>
          <w:sz w:val="24"/>
        </w:rPr>
      </w:pPr>
    </w:p>
    <w:p w:rsidR="00881BFE" w:rsidRPr="005B0BC6" w:rsidRDefault="00881BFE" w:rsidP="005B0BC6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prosecutor, </w:t>
      </w:r>
    </w:p>
    <w:p w:rsidR="005B0BC6" w:rsidRDefault="005B0BC6" w:rsidP="005B0BC6">
      <w:pPr>
        <w:pStyle w:val="ListParagraph"/>
        <w:ind w:left="1080"/>
        <w:rPr>
          <w:rFonts w:ascii="Arial" w:hAnsi="Arial" w:cs="Arial"/>
          <w:sz w:val="24"/>
        </w:rPr>
      </w:pPr>
    </w:p>
    <w:p w:rsidR="00881BFE" w:rsidRDefault="00881BFE" w:rsidP="00881BFE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Australian legal practitioner r</w:t>
      </w:r>
      <w:r w:rsidR="005B0BC6">
        <w:rPr>
          <w:rFonts w:ascii="Arial" w:hAnsi="Arial" w:cs="Arial"/>
          <w:sz w:val="24"/>
        </w:rPr>
        <w:t xml:space="preserve">epresenting the accused person, and </w:t>
      </w:r>
    </w:p>
    <w:p w:rsidR="005B0BC6" w:rsidRPr="005B0BC6" w:rsidRDefault="005B0BC6" w:rsidP="005B0BC6">
      <w:pPr>
        <w:pStyle w:val="ListParagraph"/>
        <w:rPr>
          <w:rFonts w:ascii="Arial" w:hAnsi="Arial" w:cs="Arial"/>
          <w:sz w:val="24"/>
        </w:rPr>
      </w:pPr>
    </w:p>
    <w:p w:rsidR="005B0BC6" w:rsidRDefault="005B0BC6" w:rsidP="00881BFE">
      <w:pPr>
        <w:pStyle w:val="ListParagraph"/>
        <w:numPr>
          <w:ilvl w:val="1"/>
          <w:numId w:val="6"/>
        </w:num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accused person, if not represented by an Australian legal practitioner</w:t>
      </w:r>
      <w:r w:rsidR="005B1494">
        <w:rPr>
          <w:rFonts w:ascii="Arial" w:hAnsi="Arial" w:cs="Arial"/>
          <w:sz w:val="24"/>
        </w:rPr>
        <w:t xml:space="preserve"> and not in custody</w:t>
      </w:r>
      <w:r>
        <w:rPr>
          <w:rFonts w:ascii="Arial" w:hAnsi="Arial" w:cs="Arial"/>
          <w:sz w:val="24"/>
        </w:rPr>
        <w:t xml:space="preserve">. </w:t>
      </w:r>
    </w:p>
    <w:p w:rsidR="00983444" w:rsidRPr="00983444" w:rsidRDefault="00983444" w:rsidP="00983444">
      <w:pPr>
        <w:pStyle w:val="ListParagraph"/>
        <w:ind w:left="360"/>
        <w:rPr>
          <w:rFonts w:ascii="Arial" w:hAnsi="Arial" w:cs="Arial"/>
          <w:sz w:val="24"/>
        </w:rPr>
      </w:pPr>
    </w:p>
    <w:p w:rsidR="007141E3" w:rsidRDefault="00F102AE" w:rsidP="00DC4DDB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accused </w:t>
      </w:r>
      <w:r w:rsidR="0061031D">
        <w:rPr>
          <w:rFonts w:ascii="Arial" w:hAnsi="Arial" w:cs="Arial"/>
          <w:sz w:val="24"/>
        </w:rPr>
        <w:t xml:space="preserve">person </w:t>
      </w:r>
      <w:r>
        <w:rPr>
          <w:rFonts w:ascii="Arial" w:hAnsi="Arial" w:cs="Arial"/>
          <w:sz w:val="24"/>
        </w:rPr>
        <w:t xml:space="preserve">is not required </w:t>
      </w:r>
      <w:r w:rsidR="00BE1DBF">
        <w:rPr>
          <w:rFonts w:ascii="Arial" w:hAnsi="Arial" w:cs="Arial"/>
          <w:sz w:val="24"/>
        </w:rPr>
        <w:t xml:space="preserve">and is not expected </w:t>
      </w:r>
      <w:r>
        <w:rPr>
          <w:rFonts w:ascii="Arial" w:hAnsi="Arial" w:cs="Arial"/>
          <w:sz w:val="24"/>
        </w:rPr>
        <w:t xml:space="preserve">to be present </w:t>
      </w:r>
      <w:r w:rsidR="00881BFE">
        <w:rPr>
          <w:rFonts w:ascii="Arial" w:hAnsi="Arial" w:cs="Arial"/>
          <w:sz w:val="24"/>
        </w:rPr>
        <w:t xml:space="preserve">at the readiness hearing </w:t>
      </w:r>
      <w:r>
        <w:rPr>
          <w:rFonts w:ascii="Arial" w:hAnsi="Arial" w:cs="Arial"/>
          <w:sz w:val="24"/>
        </w:rPr>
        <w:t xml:space="preserve">provided he or she is represented </w:t>
      </w:r>
      <w:r w:rsidR="00881BFE">
        <w:rPr>
          <w:rFonts w:ascii="Arial" w:hAnsi="Arial" w:cs="Arial"/>
          <w:sz w:val="24"/>
        </w:rPr>
        <w:t>by an Australian legal practitioner</w:t>
      </w:r>
      <w:r>
        <w:rPr>
          <w:rFonts w:ascii="Arial" w:hAnsi="Arial" w:cs="Arial"/>
          <w:sz w:val="24"/>
        </w:rPr>
        <w:t>.</w:t>
      </w:r>
    </w:p>
    <w:p w:rsidR="00645FC2" w:rsidRDefault="00645FC2" w:rsidP="00645FC2">
      <w:pPr>
        <w:pStyle w:val="ListParagraph"/>
        <w:ind w:left="360"/>
        <w:rPr>
          <w:rFonts w:ascii="Arial" w:hAnsi="Arial" w:cs="Arial"/>
          <w:sz w:val="24"/>
        </w:rPr>
      </w:pPr>
    </w:p>
    <w:p w:rsidR="005B1494" w:rsidRDefault="00645FC2" w:rsidP="00F136C0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F136C0">
        <w:rPr>
          <w:rFonts w:ascii="Arial" w:hAnsi="Arial" w:cs="Arial"/>
          <w:sz w:val="24"/>
        </w:rPr>
        <w:t xml:space="preserve">The readiness hearing will be vacated and the matter listed for </w:t>
      </w:r>
      <w:r w:rsidR="005B1494">
        <w:rPr>
          <w:rFonts w:ascii="Arial" w:hAnsi="Arial" w:cs="Arial"/>
          <w:sz w:val="24"/>
        </w:rPr>
        <w:t>directions</w:t>
      </w:r>
      <w:r w:rsidRPr="00F136C0">
        <w:rPr>
          <w:rFonts w:ascii="Arial" w:hAnsi="Arial" w:cs="Arial"/>
          <w:sz w:val="24"/>
        </w:rPr>
        <w:t xml:space="preserve"> </w:t>
      </w:r>
      <w:r w:rsidR="005B1494">
        <w:rPr>
          <w:rFonts w:ascii="Arial" w:hAnsi="Arial" w:cs="Arial"/>
          <w:sz w:val="24"/>
        </w:rPr>
        <w:t xml:space="preserve">in the arraignment list </w:t>
      </w:r>
      <w:r w:rsidRPr="00F136C0">
        <w:rPr>
          <w:rFonts w:ascii="Arial" w:hAnsi="Arial" w:cs="Arial"/>
          <w:sz w:val="24"/>
        </w:rPr>
        <w:t xml:space="preserve">where the accused person is </w:t>
      </w:r>
      <w:r w:rsidR="005B1494" w:rsidRPr="00F136C0">
        <w:rPr>
          <w:rFonts w:ascii="Arial" w:hAnsi="Arial" w:cs="Arial"/>
          <w:sz w:val="24"/>
        </w:rPr>
        <w:t>not represented by an Australian legal practitioner</w:t>
      </w:r>
      <w:r w:rsidR="005B1494">
        <w:rPr>
          <w:rFonts w:ascii="Arial" w:hAnsi="Arial" w:cs="Arial"/>
          <w:sz w:val="24"/>
        </w:rPr>
        <w:t xml:space="preserve"> and is in custody. </w:t>
      </w:r>
    </w:p>
    <w:p w:rsidR="00F136C0" w:rsidRDefault="00F136C0" w:rsidP="00F136C0">
      <w:pPr>
        <w:pStyle w:val="ListParagraph"/>
        <w:ind w:left="360"/>
        <w:rPr>
          <w:rFonts w:ascii="Arial" w:hAnsi="Arial" w:cs="Arial"/>
          <w:sz w:val="24"/>
        </w:rPr>
      </w:pPr>
    </w:p>
    <w:p w:rsidR="00BE1DBF" w:rsidRPr="00BE1DBF" w:rsidRDefault="00983444" w:rsidP="00BE1DBF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983444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prosecutor and the </w:t>
      </w:r>
      <w:r w:rsidRPr="00983444">
        <w:rPr>
          <w:rFonts w:ascii="Arial" w:hAnsi="Arial" w:cs="Arial"/>
          <w:sz w:val="24"/>
        </w:rPr>
        <w:t>accused person’s legal representatives are to be present at the readiness hearing with full knowledge of the state of the proceedings.</w:t>
      </w:r>
    </w:p>
    <w:p w:rsidR="00BE1DBF" w:rsidRDefault="00BE1DBF" w:rsidP="00BE1DBF">
      <w:pPr>
        <w:pStyle w:val="ListParagraph"/>
        <w:ind w:left="360"/>
        <w:rPr>
          <w:rFonts w:ascii="Arial" w:hAnsi="Arial" w:cs="Arial"/>
          <w:sz w:val="24"/>
        </w:rPr>
      </w:pPr>
    </w:p>
    <w:p w:rsidR="007141E3" w:rsidRDefault="00FA057E" w:rsidP="00A64E1D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R</w:t>
      </w:r>
      <w:r w:rsidR="007141E3">
        <w:rPr>
          <w:rFonts w:ascii="Arial" w:hAnsi="Arial" w:cs="Arial"/>
          <w:sz w:val="24"/>
        </w:rPr>
        <w:t>eadiness he</w:t>
      </w:r>
      <w:r w:rsidR="00F8140C">
        <w:rPr>
          <w:rFonts w:ascii="Arial" w:hAnsi="Arial" w:cs="Arial"/>
          <w:sz w:val="24"/>
        </w:rPr>
        <w:t>aring</w:t>
      </w:r>
      <w:r>
        <w:rPr>
          <w:rFonts w:ascii="Arial" w:hAnsi="Arial" w:cs="Arial"/>
          <w:sz w:val="24"/>
        </w:rPr>
        <w:t>s</w:t>
      </w:r>
      <w:r w:rsidR="00F8140C">
        <w:rPr>
          <w:rFonts w:ascii="Arial" w:hAnsi="Arial" w:cs="Arial"/>
          <w:sz w:val="24"/>
        </w:rPr>
        <w:t xml:space="preserve"> will </w:t>
      </w:r>
      <w:r>
        <w:rPr>
          <w:rFonts w:ascii="Arial" w:hAnsi="Arial" w:cs="Arial"/>
          <w:sz w:val="24"/>
        </w:rPr>
        <w:t>normally</w:t>
      </w:r>
      <w:r w:rsidR="00F8140C">
        <w:rPr>
          <w:rFonts w:ascii="Arial" w:hAnsi="Arial" w:cs="Arial"/>
          <w:sz w:val="24"/>
        </w:rPr>
        <w:t xml:space="preserve"> be </w:t>
      </w:r>
      <w:r w:rsidR="00B90627">
        <w:rPr>
          <w:rFonts w:ascii="Arial" w:hAnsi="Arial" w:cs="Arial"/>
          <w:sz w:val="24"/>
        </w:rPr>
        <w:t xml:space="preserve">fixed at least six weeks prior to the date set for trial and held </w:t>
      </w:r>
      <w:r w:rsidR="005C5D53">
        <w:rPr>
          <w:rFonts w:ascii="Arial" w:hAnsi="Arial" w:cs="Arial"/>
          <w:sz w:val="24"/>
        </w:rPr>
        <w:t>in c</w:t>
      </w:r>
      <w:r w:rsidR="007141E3">
        <w:rPr>
          <w:rFonts w:ascii="Arial" w:hAnsi="Arial" w:cs="Arial"/>
          <w:sz w:val="24"/>
        </w:rPr>
        <w:t>ourtroom 21A</w:t>
      </w:r>
      <w:r w:rsidR="00F8140C">
        <w:rPr>
          <w:rFonts w:ascii="Arial" w:hAnsi="Arial" w:cs="Arial"/>
          <w:sz w:val="24"/>
        </w:rPr>
        <w:t>, Level 21,</w:t>
      </w:r>
      <w:r w:rsidR="007141E3">
        <w:rPr>
          <w:rFonts w:ascii="Arial" w:hAnsi="Arial" w:cs="Arial"/>
          <w:sz w:val="24"/>
        </w:rPr>
        <w:t xml:space="preserve"> John </w:t>
      </w:r>
      <w:proofErr w:type="spellStart"/>
      <w:r w:rsidR="007141E3">
        <w:rPr>
          <w:rFonts w:ascii="Arial" w:hAnsi="Arial" w:cs="Arial"/>
          <w:sz w:val="24"/>
        </w:rPr>
        <w:t>Mad</w:t>
      </w:r>
      <w:r w:rsidR="007B4820">
        <w:rPr>
          <w:rFonts w:ascii="Arial" w:hAnsi="Arial" w:cs="Arial"/>
          <w:sz w:val="24"/>
        </w:rPr>
        <w:t>d</w:t>
      </w:r>
      <w:r w:rsidR="007141E3">
        <w:rPr>
          <w:rFonts w:ascii="Arial" w:hAnsi="Arial" w:cs="Arial"/>
          <w:sz w:val="24"/>
        </w:rPr>
        <w:t>ison</w:t>
      </w:r>
      <w:proofErr w:type="spellEnd"/>
      <w:r w:rsidR="007141E3">
        <w:rPr>
          <w:rFonts w:ascii="Arial" w:hAnsi="Arial" w:cs="Arial"/>
          <w:sz w:val="24"/>
        </w:rPr>
        <w:t xml:space="preserve"> Tower, 86 Goulburn Street</w:t>
      </w:r>
      <w:r w:rsidR="00F8140C">
        <w:rPr>
          <w:rFonts w:ascii="Arial" w:hAnsi="Arial" w:cs="Arial"/>
          <w:sz w:val="24"/>
        </w:rPr>
        <w:t>,</w:t>
      </w:r>
      <w:r w:rsidR="007141E3">
        <w:rPr>
          <w:rFonts w:ascii="Arial" w:hAnsi="Arial" w:cs="Arial"/>
          <w:sz w:val="24"/>
        </w:rPr>
        <w:t xml:space="preserve"> Sydney</w:t>
      </w:r>
      <w:r w:rsidR="001D6701">
        <w:rPr>
          <w:rFonts w:ascii="Arial" w:hAnsi="Arial" w:cs="Arial"/>
          <w:sz w:val="24"/>
        </w:rPr>
        <w:t>,</w:t>
      </w:r>
      <w:r w:rsidR="007141E3">
        <w:rPr>
          <w:rFonts w:ascii="Arial" w:hAnsi="Arial" w:cs="Arial"/>
          <w:sz w:val="24"/>
        </w:rPr>
        <w:t xml:space="preserve"> NSW 2000. </w:t>
      </w:r>
    </w:p>
    <w:p w:rsidR="00C41CED" w:rsidRDefault="00C41CED" w:rsidP="00E5584A">
      <w:pPr>
        <w:rPr>
          <w:rFonts w:ascii="Arial" w:hAnsi="Arial" w:cs="Arial"/>
          <w:sz w:val="24"/>
        </w:rPr>
      </w:pPr>
    </w:p>
    <w:p w:rsidR="00F43430" w:rsidRDefault="00F43430" w:rsidP="00E5584A">
      <w:pPr>
        <w:rPr>
          <w:rFonts w:ascii="Arial" w:hAnsi="Arial" w:cs="Arial"/>
          <w:sz w:val="24"/>
        </w:rPr>
      </w:pPr>
    </w:p>
    <w:p w:rsidR="00F43430" w:rsidRPr="00E5584A" w:rsidRDefault="00F43430" w:rsidP="00E5584A">
      <w:pPr>
        <w:rPr>
          <w:rFonts w:ascii="Arial" w:hAnsi="Arial" w:cs="Arial"/>
          <w:sz w:val="24"/>
        </w:rPr>
      </w:pPr>
      <w:bookmarkStart w:id="0" w:name="_GoBack"/>
      <w:bookmarkEnd w:id="0"/>
    </w:p>
    <w:p w:rsidR="00A64E1D" w:rsidRDefault="00A64E1D" w:rsidP="00A64E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Hon Justice D M Price AM</w:t>
      </w:r>
    </w:p>
    <w:p w:rsidR="00A64E1D" w:rsidRDefault="00A64E1D" w:rsidP="00A64E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Chief Judge of the District Court </w:t>
      </w:r>
    </w:p>
    <w:p w:rsidR="00A64E1D" w:rsidRPr="00A64E1D" w:rsidRDefault="004C5E4B" w:rsidP="00A64E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August</w:t>
      </w:r>
      <w:r w:rsidR="00B13B35">
        <w:rPr>
          <w:rFonts w:ascii="Arial" w:hAnsi="Arial" w:cs="Arial"/>
          <w:sz w:val="24"/>
        </w:rPr>
        <w:t xml:space="preserve"> </w:t>
      </w:r>
      <w:r w:rsidR="00EF3503">
        <w:rPr>
          <w:rFonts w:ascii="Arial" w:hAnsi="Arial" w:cs="Arial"/>
          <w:sz w:val="24"/>
        </w:rPr>
        <w:t>201</w:t>
      </w:r>
      <w:r>
        <w:rPr>
          <w:rFonts w:ascii="Arial" w:hAnsi="Arial" w:cs="Arial"/>
          <w:sz w:val="24"/>
        </w:rPr>
        <w:t>8</w:t>
      </w:r>
    </w:p>
    <w:p w:rsidR="008E5F50" w:rsidRDefault="008E5F50" w:rsidP="00E36811">
      <w:pPr>
        <w:rPr>
          <w:rFonts w:ascii="Arial" w:hAnsi="Arial" w:cs="Arial"/>
          <w:sz w:val="24"/>
        </w:rPr>
      </w:pPr>
    </w:p>
    <w:p w:rsidR="00075488" w:rsidRPr="00075488" w:rsidRDefault="00075488" w:rsidP="00075488">
      <w:pPr>
        <w:rPr>
          <w:rFonts w:ascii="Arial" w:hAnsi="Arial" w:cs="Arial"/>
          <w:sz w:val="24"/>
        </w:rPr>
      </w:pPr>
    </w:p>
    <w:sectPr w:rsidR="00075488" w:rsidRPr="00075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C85"/>
    <w:multiLevelType w:val="hybridMultilevel"/>
    <w:tmpl w:val="952062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1E07D5"/>
    <w:multiLevelType w:val="hybridMultilevel"/>
    <w:tmpl w:val="5B5EC2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5C10"/>
    <w:multiLevelType w:val="hybridMultilevel"/>
    <w:tmpl w:val="42867E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4943"/>
    <w:multiLevelType w:val="hybridMultilevel"/>
    <w:tmpl w:val="904C4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518A"/>
    <w:multiLevelType w:val="hybridMultilevel"/>
    <w:tmpl w:val="6F1E50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01D8B"/>
    <w:multiLevelType w:val="hybridMultilevel"/>
    <w:tmpl w:val="3924A3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C2D7A"/>
    <w:multiLevelType w:val="hybridMultilevel"/>
    <w:tmpl w:val="B148B8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7806"/>
    <w:multiLevelType w:val="hybridMultilevel"/>
    <w:tmpl w:val="C28CF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92971"/>
    <w:multiLevelType w:val="hybridMultilevel"/>
    <w:tmpl w:val="B5B8CA9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40"/>
    <w:rsid w:val="00041B4F"/>
    <w:rsid w:val="00075488"/>
    <w:rsid w:val="00083A4B"/>
    <w:rsid w:val="000A71A1"/>
    <w:rsid w:val="000F22FD"/>
    <w:rsid w:val="000F4491"/>
    <w:rsid w:val="001A6DEF"/>
    <w:rsid w:val="001D6701"/>
    <w:rsid w:val="002060CA"/>
    <w:rsid w:val="002624C0"/>
    <w:rsid w:val="002A2F9C"/>
    <w:rsid w:val="002A729F"/>
    <w:rsid w:val="00302B39"/>
    <w:rsid w:val="00335376"/>
    <w:rsid w:val="00350C0F"/>
    <w:rsid w:val="00363C89"/>
    <w:rsid w:val="00370941"/>
    <w:rsid w:val="003765B3"/>
    <w:rsid w:val="003850E1"/>
    <w:rsid w:val="003B1E89"/>
    <w:rsid w:val="003F2863"/>
    <w:rsid w:val="00435AEB"/>
    <w:rsid w:val="00446067"/>
    <w:rsid w:val="004723C7"/>
    <w:rsid w:val="00474C7E"/>
    <w:rsid w:val="004A604D"/>
    <w:rsid w:val="004C4195"/>
    <w:rsid w:val="004C5E4B"/>
    <w:rsid w:val="004C7F47"/>
    <w:rsid w:val="004F564D"/>
    <w:rsid w:val="00526BA7"/>
    <w:rsid w:val="00542321"/>
    <w:rsid w:val="005845DC"/>
    <w:rsid w:val="005A7182"/>
    <w:rsid w:val="005B0BC6"/>
    <w:rsid w:val="005B1494"/>
    <w:rsid w:val="005C5D53"/>
    <w:rsid w:val="0061031D"/>
    <w:rsid w:val="00615674"/>
    <w:rsid w:val="0061568F"/>
    <w:rsid w:val="00645FC2"/>
    <w:rsid w:val="00694667"/>
    <w:rsid w:val="006C2191"/>
    <w:rsid w:val="006D38F9"/>
    <w:rsid w:val="006E0FC5"/>
    <w:rsid w:val="00700412"/>
    <w:rsid w:val="007043F0"/>
    <w:rsid w:val="007141E3"/>
    <w:rsid w:val="00727CDF"/>
    <w:rsid w:val="00736DD4"/>
    <w:rsid w:val="007B4820"/>
    <w:rsid w:val="007C5CA0"/>
    <w:rsid w:val="00811DED"/>
    <w:rsid w:val="00867A64"/>
    <w:rsid w:val="00881BFE"/>
    <w:rsid w:val="00881CF6"/>
    <w:rsid w:val="00893870"/>
    <w:rsid w:val="008D628C"/>
    <w:rsid w:val="008E5F50"/>
    <w:rsid w:val="008F4358"/>
    <w:rsid w:val="00925108"/>
    <w:rsid w:val="00937D71"/>
    <w:rsid w:val="00941D29"/>
    <w:rsid w:val="00942CBE"/>
    <w:rsid w:val="009479A1"/>
    <w:rsid w:val="00983444"/>
    <w:rsid w:val="00A36055"/>
    <w:rsid w:val="00A64E1D"/>
    <w:rsid w:val="00A95CD6"/>
    <w:rsid w:val="00AA229E"/>
    <w:rsid w:val="00AB1916"/>
    <w:rsid w:val="00AB374D"/>
    <w:rsid w:val="00AB39DA"/>
    <w:rsid w:val="00B13B35"/>
    <w:rsid w:val="00B40961"/>
    <w:rsid w:val="00B802DB"/>
    <w:rsid w:val="00B90627"/>
    <w:rsid w:val="00B90F4B"/>
    <w:rsid w:val="00BE1DBF"/>
    <w:rsid w:val="00BE2040"/>
    <w:rsid w:val="00BF0D4F"/>
    <w:rsid w:val="00C26157"/>
    <w:rsid w:val="00C41CED"/>
    <w:rsid w:val="00C66F96"/>
    <w:rsid w:val="00C7435A"/>
    <w:rsid w:val="00C83F43"/>
    <w:rsid w:val="00D76064"/>
    <w:rsid w:val="00D960BB"/>
    <w:rsid w:val="00DC4DDB"/>
    <w:rsid w:val="00DE72ED"/>
    <w:rsid w:val="00E15915"/>
    <w:rsid w:val="00E3362C"/>
    <w:rsid w:val="00E36811"/>
    <w:rsid w:val="00E5584A"/>
    <w:rsid w:val="00E57F07"/>
    <w:rsid w:val="00E729E1"/>
    <w:rsid w:val="00E8462E"/>
    <w:rsid w:val="00EA4EBA"/>
    <w:rsid w:val="00EF18E8"/>
    <w:rsid w:val="00EF3503"/>
    <w:rsid w:val="00F102AE"/>
    <w:rsid w:val="00F136C0"/>
    <w:rsid w:val="00F204ED"/>
    <w:rsid w:val="00F43430"/>
    <w:rsid w:val="00F52540"/>
    <w:rsid w:val="00F8140C"/>
    <w:rsid w:val="00F8377D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c69e438a-3655-4fb5-8eed-b57535a93fce">
      <Terms xmlns="http://schemas.microsoft.com/office/infopath/2007/PartnerControls"/>
    </bc56bdda6a6a44c48d8cfdd96ad4c147>
    <ne8158a489a9473f9c54eecb4c21131b xmlns="c69e438a-3655-4fb5-8eed-b57535a93f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Courts ＆ Tribunals Services</TermName>
          <TermId xmlns="http://schemas.microsoft.com/office/infopath/2007/PartnerControls">d50a5650-a3e5-41fb-93c3-efa806f40c48</TermId>
        </TermInfo>
      </Terms>
    </ne8158a489a9473f9c54eecb4c21131b>
    <TaxCatchAll xmlns="e613a5b6-995f-41f3-b1db-fa964f43b8ea">
      <Value>25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B8F6884AE1C155498753E60156E51F3F" ma:contentTypeVersion="2" ma:contentTypeDescription="" ma:contentTypeScope="" ma:versionID="2b7d3cd95c05e7ef61ececbef21ade98">
  <xsd:schema xmlns:xsd="http://www.w3.org/2001/XMLSchema" xmlns:xs="http://www.w3.org/2001/XMLSchema" xmlns:p="http://schemas.microsoft.com/office/2006/metadata/properties" xmlns:ns3="e613a5b6-995f-41f3-b1db-fa964f43b8ea" xmlns:ns4="c69e438a-3655-4fb5-8eed-b57535a93fce" targetNamespace="http://schemas.microsoft.com/office/2006/metadata/properties" ma:root="true" ma:fieldsID="73945f7459e7941c0a7ad5c6bb11c694" ns3:_="" ns4:_="">
    <xsd:import namespace="e613a5b6-995f-41f3-b1db-fa964f43b8ea"/>
    <xsd:import namespace="c69e438a-3655-4fb5-8eed-b57535a93fc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3a5b6-995f-41f3-b1db-fa964f43b8e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4988ca-3e60-45c7-ab03-8330bcde6762}" ma:internalName="TaxCatchAll" ma:showField="CatchAllData" ma:web="e613a5b6-995f-41f3-b1db-fa964f43b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e438a-3655-4fb5-8eed-b57535a93fce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0FC4D-3AD6-4B6D-9BDA-D22F92136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E1CB6-CAD2-443C-AEB5-872638BA2E62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69e438a-3655-4fb5-8eed-b57535a93fce"/>
    <ds:schemaRef ds:uri="e613a5b6-995f-41f3-b1db-fa964f43b8ea"/>
  </ds:schemaRefs>
</ds:datastoreItem>
</file>

<file path=customXml/itemProps3.xml><?xml version="1.0" encoding="utf-8"?>
<ds:datastoreItem xmlns:ds="http://schemas.openxmlformats.org/officeDocument/2006/customXml" ds:itemID="{8EA226E3-24C4-44E4-8B49-25AF8A93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3a5b6-995f-41f3-b1db-fa964f43b8ea"/>
    <ds:schemaRef ds:uri="c69e438a-3655-4fb5-8eed-b57535a93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940DBA44.dotm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Booth</dc:creator>
  <cp:lastModifiedBy>William Kahler</cp:lastModifiedBy>
  <cp:revision>4</cp:revision>
  <cp:lastPrinted>2018-08-10T02:16:00Z</cp:lastPrinted>
  <dcterms:created xsi:type="dcterms:W3CDTF">2018-08-10T02:11:00Z</dcterms:created>
  <dcterms:modified xsi:type="dcterms:W3CDTF">2018-08-10T02:35:00Z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0x01010077DC2A28846341C9915EFC7988C44A4F00B8F6884AE1C155498753E60156E51F3F</vt:lpwstr>
  </property>
  <property fmtid="{D5CDD505-2E9C-101B-9397-08002B2CF9AE}" pid="3" name="Content tags">
    <vt:lpwstr>25;#Courts ＆ Tribunals Services|d50a5650-a3e5-41fb-93c3-efa806f40c48</vt:lpwstr>
  </property>
  <property fmtid="{D5CDD505-2E9C-101B-9397-08002B2CF9AE}" pid="4" name="DC.Type.DocType (JSMS">
    <vt:lpwstr/>
  </property>
</Properties>
</file>